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76" w:rsidRDefault="00CB3D76" w:rsidP="00CB3D76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4386F" w:rsidRDefault="00CB3D76" w:rsidP="00DD1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Toshkent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universitetining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95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yilligi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munosabati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bialn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“Global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o‘zgarishi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xo‘jaligini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oziq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ovqat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xavfsizligini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mavzusida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konferensiya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o‘tkazilishi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rejalashtirilgan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86F">
        <w:rPr>
          <w:rFonts w:ascii="Times New Roman" w:hAnsi="Times New Roman" w:cs="Times New Roman"/>
          <w:sz w:val="28"/>
          <w:szCs w:val="28"/>
          <w:lang w:val="en-US"/>
        </w:rPr>
        <w:t>konferensiya</w:t>
      </w:r>
      <w:proofErr w:type="spellEnd"/>
      <w:r w:rsidR="00743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86F">
        <w:rPr>
          <w:rFonts w:ascii="Times New Roman" w:hAnsi="Times New Roman" w:cs="Times New Roman"/>
          <w:sz w:val="28"/>
          <w:szCs w:val="28"/>
          <w:lang w:val="en-US"/>
        </w:rPr>
        <w:t>sho‘balari</w:t>
      </w:r>
      <w:proofErr w:type="spellEnd"/>
      <w:r w:rsidR="00743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86F">
        <w:rPr>
          <w:rFonts w:ascii="Times New Roman" w:hAnsi="Times New Roman" w:cs="Times New Roman"/>
          <w:sz w:val="28"/>
          <w:szCs w:val="28"/>
          <w:lang w:val="en-US"/>
        </w:rPr>
        <w:t>quyidagilardan</w:t>
      </w:r>
      <w:proofErr w:type="spellEnd"/>
      <w:r w:rsidR="00743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386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="0074386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260FDA" w:rsidRPr="001A23A9" w:rsidRDefault="0074386F" w:rsidP="00DD1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1-sho‘ba</w:t>
      </w:r>
      <w:r w:rsidR="00260FDA" w:rsidRPr="001A23A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4386F" w:rsidRPr="001A23A9" w:rsidRDefault="0074386F" w:rsidP="00DD1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Global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iqlim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o‘zgarishi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sharoitida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qishloq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xo‘jaligi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tizimlarini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barqaror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rivojlantirish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masalalari</w:t>
      </w:r>
      <w:proofErr w:type="spellEnd"/>
      <w:r w:rsidR="00260FDA" w:rsidRPr="001A23A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4386F" w:rsidRPr="001A23A9" w:rsidRDefault="0074386F" w:rsidP="00DD1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2-sho‘ba</w:t>
      </w:r>
      <w:r w:rsidR="00260FDA" w:rsidRPr="001A23A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4386F" w:rsidRPr="001A23A9" w:rsidRDefault="0074386F" w:rsidP="00DD1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Barqaror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o‘rmonchilik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tabiat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taraqqiyot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uyg‘unligi</w:t>
      </w:r>
      <w:proofErr w:type="spellEnd"/>
      <w:r w:rsidR="00260FDA" w:rsidRPr="001A23A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4386F" w:rsidRPr="001A23A9" w:rsidRDefault="0074386F" w:rsidP="00DD1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3-sho‘ba</w:t>
      </w:r>
      <w:r w:rsidR="00260FDA" w:rsidRPr="001A23A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4386F" w:rsidRPr="001A23A9" w:rsidRDefault="0074386F" w:rsidP="00DD1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Oziq-ovqat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xavfsizligini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ta’minlashda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ilm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-fan </w:t>
      </w:r>
      <w:proofErr w:type="spellStart"/>
      <w:proofErr w:type="gram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innovatsiyalarning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ahamiyati</w:t>
      </w:r>
      <w:proofErr w:type="spellEnd"/>
      <w:r w:rsidR="00260FDA" w:rsidRPr="001A23A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4386F" w:rsidRPr="001A23A9" w:rsidRDefault="0074386F" w:rsidP="00DD1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4-sho‘ba</w:t>
      </w:r>
      <w:r w:rsidR="00260FDA" w:rsidRPr="001A23A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4386F" w:rsidRPr="001A23A9" w:rsidRDefault="0074386F" w:rsidP="00DD1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Innovatsion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agrotexnologiyalar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asosida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tuproqning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degradatsiyasini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oldini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olish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o‘simliklarni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himoya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qilish</w:t>
      </w:r>
      <w:proofErr w:type="spellEnd"/>
      <w:r w:rsidR="00260FDA" w:rsidRPr="001A23A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4386F" w:rsidRPr="001A23A9" w:rsidRDefault="0074386F" w:rsidP="00DD1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5-sho‘ba</w:t>
      </w:r>
      <w:r w:rsidR="00260FDA" w:rsidRPr="001A23A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4386F" w:rsidRPr="001A23A9" w:rsidRDefault="0074386F" w:rsidP="00DD1A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Qishloq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xo‘jaligida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</w:t>
      </w:r>
      <w:proofErr w:type="spellStart"/>
      <w:r w:rsidR="0025515E" w:rsidRPr="001A23A9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ashil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iqtisodiyot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tamoyillari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barqaror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rivojlanish</w:t>
      </w:r>
      <w:proofErr w:type="spellEnd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A23A9">
        <w:rPr>
          <w:rFonts w:ascii="Times New Roman" w:hAnsi="Times New Roman" w:cs="Times New Roman"/>
          <w:b/>
          <w:sz w:val="28"/>
          <w:szCs w:val="28"/>
          <w:lang w:val="en-US"/>
        </w:rPr>
        <w:t>istiqbollari</w:t>
      </w:r>
      <w:proofErr w:type="spellEnd"/>
      <w:r w:rsidR="00260FDA" w:rsidRPr="001A23A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60FDA" w:rsidRDefault="00260FDA" w:rsidP="00DD1A6F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8A54D0" w:rsidRDefault="0025515E" w:rsidP="00DD1A6F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Maqolalarni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kafedralardan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oluvchi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CDD">
        <w:rPr>
          <w:rFonts w:ascii="Times New Roman" w:hAnsi="Times New Roman" w:cs="Times New Roman"/>
          <w:b/>
          <w:sz w:val="28"/>
          <w:szCs w:val="28"/>
          <w:lang w:val="en-US"/>
        </w:rPr>
        <w:t>Xayrullayev</w:t>
      </w:r>
      <w:proofErr w:type="spellEnd"/>
      <w:r w:rsidRPr="00075C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5CDD">
        <w:rPr>
          <w:rFonts w:ascii="Times New Roman" w:hAnsi="Times New Roman" w:cs="Times New Roman"/>
          <w:b/>
          <w:sz w:val="28"/>
          <w:szCs w:val="28"/>
          <w:lang w:val="en-US"/>
        </w:rPr>
        <w:t>Sardor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CDD">
        <w:rPr>
          <w:rFonts w:ascii="Times New Roman" w:hAnsi="Times New Roman" w:cs="Times New Roman"/>
          <w:sz w:val="28"/>
          <w:szCs w:val="28"/>
          <w:lang w:val="en-US"/>
        </w:rPr>
        <w:t>mas’ul</w:t>
      </w:r>
      <w:proofErr w:type="spellEnd"/>
      <w:r w:rsidR="00075C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CDD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="00075C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5CDD">
        <w:rPr>
          <w:rFonts w:ascii="Times New Roman" w:hAnsi="Times New Roman" w:cs="Times New Roman"/>
          <w:sz w:val="28"/>
          <w:szCs w:val="28"/>
          <w:lang w:val="en-US"/>
        </w:rPr>
        <w:t>biriktirilgan</w:t>
      </w:r>
      <w:proofErr w:type="spellEnd"/>
      <w:r w:rsidR="00075C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5CDD" w:rsidRPr="00075CDD">
        <w:rPr>
          <w:rFonts w:ascii="Times New Roman" w:hAnsi="Times New Roman" w:cs="Times New Roman"/>
          <w:b/>
          <w:sz w:val="28"/>
          <w:szCs w:val="28"/>
          <w:lang w:val="en-US"/>
        </w:rPr>
        <w:t>+99891 639 88 25</w:t>
      </w:r>
      <w:r w:rsidR="00075CDD">
        <w:rPr>
          <w:rFonts w:ascii="Times New Roman" w:hAnsi="Times New Roman" w:cs="Times New Roman"/>
          <w:sz w:val="28"/>
          <w:szCs w:val="28"/>
          <w:lang w:val="en-US"/>
        </w:rPr>
        <w:t xml:space="preserve"> telegram </w:t>
      </w:r>
      <w:proofErr w:type="spellStart"/>
      <w:r w:rsidR="00075CDD">
        <w:rPr>
          <w:rFonts w:ascii="Times New Roman" w:hAnsi="Times New Roman" w:cs="Times New Roman"/>
          <w:sz w:val="28"/>
          <w:szCs w:val="28"/>
          <w:lang w:val="en-US"/>
        </w:rPr>
        <w:t>manzil</w:t>
      </w:r>
      <w:proofErr w:type="spellEnd"/>
      <w:r w:rsidR="00075C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5CDD" w:rsidRPr="00075CDD">
        <w:rPr>
          <w:rFonts w:ascii="Times New Roman" w:hAnsi="Times New Roman" w:cs="Times New Roman"/>
          <w:b/>
          <w:sz w:val="28"/>
          <w:szCs w:val="28"/>
          <w:lang w:val="en-US"/>
        </w:rPr>
        <w:t>@</w:t>
      </w:r>
      <w:proofErr w:type="spellStart"/>
      <w:r w:rsidR="00075CDD" w:rsidRPr="00075CDD">
        <w:rPr>
          <w:rFonts w:ascii="Times New Roman" w:hAnsi="Times New Roman" w:cs="Times New Roman"/>
          <w:b/>
          <w:sz w:val="28"/>
          <w:szCs w:val="28"/>
          <w:lang w:val="en-US"/>
        </w:rPr>
        <w:t>livetogatherthetime</w:t>
      </w:r>
      <w:proofErr w:type="spellEnd"/>
    </w:p>
    <w:p w:rsidR="00075CDD" w:rsidRDefault="00075CDD" w:rsidP="00DD1A6F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60FDA" w:rsidRDefault="00260FDA" w:rsidP="0025515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60FDA" w:rsidRDefault="00260FDA" w:rsidP="0025515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60FDA" w:rsidRDefault="00260FDA" w:rsidP="0025515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60FDA" w:rsidRDefault="00260FDA" w:rsidP="0025515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60FDA" w:rsidRDefault="00260FDA" w:rsidP="0025515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60FDA" w:rsidRDefault="00260FDA" w:rsidP="0025515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60FDA" w:rsidRDefault="00260FDA" w:rsidP="0025515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60FDA" w:rsidRDefault="00260FDA" w:rsidP="0025515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60FDA" w:rsidRDefault="00260FDA" w:rsidP="0025515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60FDA" w:rsidRPr="00C45C66" w:rsidRDefault="00260FDA" w:rsidP="00260FDA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45C66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ТРЕБОВАНИЯ К ОФОРМЛЕНИЮ МАТЕРИАЛОВ ДЛЯ КОНФЕРЕНЦИИ</w:t>
      </w:r>
    </w:p>
    <w:p w:rsidR="00260FDA" w:rsidRPr="00C45C66" w:rsidRDefault="00260FDA" w:rsidP="00260FDA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45C66">
        <w:rPr>
          <w:rFonts w:ascii="Times New Roman" w:hAnsi="Times New Roman" w:cs="Times New Roman"/>
          <w:color w:val="auto"/>
          <w:sz w:val="24"/>
          <w:szCs w:val="24"/>
          <w:lang w:val="ru-RU"/>
        </w:rPr>
        <w:t>1. Общие положения</w:t>
      </w:r>
    </w:p>
    <w:p w:rsidR="00260FDA" w:rsidRPr="00C45C66" w:rsidRDefault="00260FDA" w:rsidP="00260FD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Язык: английский </w:t>
      </w:r>
    </w:p>
    <w:p w:rsidR="00260FDA" w:rsidRPr="00C45C66" w:rsidRDefault="00260FDA" w:rsidP="00260FD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Оригинальность: ≥90–95 % </w:t>
      </w:r>
    </w:p>
    <w:p w:rsidR="00260FDA" w:rsidRPr="00C45C66" w:rsidRDefault="00260FDA" w:rsidP="00260FD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5C66">
        <w:rPr>
          <w:rFonts w:ascii="Times New Roman" w:hAnsi="Times New Roman" w:cs="Times New Roman"/>
          <w:sz w:val="24"/>
          <w:szCs w:val="24"/>
          <w:lang w:val="ru-RU"/>
        </w:rPr>
        <w:t>Нумерация страниц обязательна.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br/>
        <w:t>Объём: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br/>
        <w:t xml:space="preserve"> - Аннотация (</w:t>
      </w:r>
      <w:r w:rsidRPr="00C45C66">
        <w:rPr>
          <w:rFonts w:ascii="Times New Roman" w:hAnsi="Times New Roman" w:cs="Times New Roman"/>
          <w:sz w:val="24"/>
          <w:szCs w:val="24"/>
        </w:rPr>
        <w:t>Abstract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>): 200–250 слов.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br/>
        <w:t xml:space="preserve"> - Полный текст статьи: 3000–5000 слов (включая рисунки, таблицы, ссылки).</w:t>
      </w:r>
    </w:p>
    <w:p w:rsidR="00260FDA" w:rsidRPr="00B958C5" w:rsidRDefault="00260FDA" w:rsidP="00260FDA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958C5">
        <w:rPr>
          <w:rFonts w:ascii="Times New Roman" w:hAnsi="Times New Roman" w:cs="Times New Roman"/>
          <w:color w:val="auto"/>
          <w:sz w:val="24"/>
          <w:szCs w:val="24"/>
          <w:lang w:val="ru-RU"/>
        </w:rPr>
        <w:t>2. Структура статьи с рекомендуемым объёмом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60FDA" w:rsidRPr="00C45C66" w:rsidTr="00477A28"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Рекомендуемый</w:t>
            </w:r>
            <w:proofErr w:type="spellEnd"/>
            <w:r w:rsidRPr="00C45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  <w:proofErr w:type="spellEnd"/>
            <w:r w:rsidRPr="00C45C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spellEnd"/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0FDA" w:rsidRPr="00C45C66" w:rsidTr="00477A28"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Краткое, информативное, без сокращений, по центру (</w:t>
            </w: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 </w:t>
            </w:r>
            <w:proofErr w:type="spellStart"/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bold</w:t>
            </w: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≤20</w:t>
            </w:r>
          </w:p>
        </w:tc>
      </w:tr>
      <w:tr w:rsidR="00260FDA" w:rsidRPr="00C45C66" w:rsidTr="00477A28"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Authors and Affiliations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ФИО, </w:t>
            </w:r>
            <w:proofErr w:type="spellStart"/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аффилиация</w:t>
            </w:r>
            <w:proofErr w:type="spellEnd"/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страна, </w:t>
            </w: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автора для корреспонденции, </w:t>
            </w: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260FDA" w:rsidRPr="00C45C66" w:rsidTr="00477A28"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Цель, методы, данные, основные результаты, выводы. Один абзац, без ссылок, выравнивание по ширине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200–250</w:t>
            </w:r>
          </w:p>
        </w:tc>
      </w:tr>
      <w:tr w:rsidR="00260FDA" w:rsidRPr="00C45C66" w:rsidTr="00477A28"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Keywords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4–5 ключевых слов, через запятую, строчными буквами (кроме имён собственных)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260FDA" w:rsidRPr="00C45C66" w:rsidTr="00477A28"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1. Introduction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актуальности, цели, задач, краткий обзор литературы (источники последних 5 лет)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500–700</w:t>
            </w:r>
          </w:p>
        </w:tc>
      </w:tr>
      <w:tr w:rsidR="00260FDA" w:rsidRPr="00C45C66" w:rsidTr="00477A28"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2. Materials and Methods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 исследования, место, время, методология, инструменты, статистическая обработка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600–800</w:t>
            </w:r>
          </w:p>
        </w:tc>
      </w:tr>
      <w:tr w:rsidR="00260FDA" w:rsidRPr="00C45C66" w:rsidTr="00477A28"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Results and Discussion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данных, анализ, сравнение с литературой, иллюстрации, таблицы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1200–1500</w:t>
            </w:r>
          </w:p>
        </w:tc>
      </w:tr>
      <w:tr w:rsidR="00260FDA" w:rsidRPr="00C45C66" w:rsidTr="00477A28"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4. Conclusion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выводы, практическая значимость, рекомендации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200–300</w:t>
            </w:r>
          </w:p>
        </w:tc>
      </w:tr>
      <w:tr w:rsidR="00260FDA" w:rsidRPr="00C45C66" w:rsidTr="00477A28"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10 источников, ≥50 % из </w:t>
            </w: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</w:t>
            </w:r>
            <w:proofErr w:type="spellStart"/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Pr="00C45C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всех доступных источников</w:t>
            </w:r>
          </w:p>
        </w:tc>
        <w:tc>
          <w:tcPr>
            <w:tcW w:w="2880" w:type="dxa"/>
          </w:tcPr>
          <w:p w:rsidR="00260FDA" w:rsidRPr="00C45C66" w:rsidRDefault="00260FDA" w:rsidP="004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:rsidR="00260FDA" w:rsidRPr="00C45C66" w:rsidRDefault="00260FDA" w:rsidP="00260FDA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45C66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proofErr w:type="spellStart"/>
      <w:r w:rsidRPr="00C45C66">
        <w:rPr>
          <w:rFonts w:ascii="Times New Roman" w:hAnsi="Times New Roman" w:cs="Times New Roman"/>
          <w:color w:val="auto"/>
          <w:sz w:val="24"/>
          <w:szCs w:val="24"/>
        </w:rPr>
        <w:t>Требования</w:t>
      </w:r>
      <w:proofErr w:type="spellEnd"/>
      <w:r w:rsidRPr="00C45C66">
        <w:rPr>
          <w:rFonts w:ascii="Times New Roman" w:hAnsi="Times New Roman" w:cs="Times New Roman"/>
          <w:color w:val="auto"/>
          <w:sz w:val="24"/>
          <w:szCs w:val="24"/>
        </w:rPr>
        <w:t xml:space="preserve"> к </w:t>
      </w:r>
      <w:proofErr w:type="spellStart"/>
      <w:r w:rsidRPr="00C45C66">
        <w:rPr>
          <w:rFonts w:ascii="Times New Roman" w:hAnsi="Times New Roman" w:cs="Times New Roman"/>
          <w:color w:val="auto"/>
          <w:sz w:val="24"/>
          <w:szCs w:val="24"/>
        </w:rPr>
        <w:t>оформлению</w:t>
      </w:r>
      <w:proofErr w:type="spellEnd"/>
      <w:r w:rsidRPr="00C45C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5C66">
        <w:rPr>
          <w:rFonts w:ascii="Times New Roman" w:hAnsi="Times New Roman" w:cs="Times New Roman"/>
          <w:color w:val="auto"/>
          <w:sz w:val="24"/>
          <w:szCs w:val="24"/>
        </w:rPr>
        <w:t>текста</w:t>
      </w:r>
      <w:proofErr w:type="spellEnd"/>
    </w:p>
    <w:p w:rsidR="00260FDA" w:rsidRPr="00C45C66" w:rsidRDefault="00260FDA" w:rsidP="00260FD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C66">
        <w:rPr>
          <w:rFonts w:ascii="Times New Roman" w:hAnsi="Times New Roman" w:cs="Times New Roman"/>
          <w:sz w:val="24"/>
          <w:szCs w:val="24"/>
        </w:rPr>
        <w:t>Шрифт</w:t>
      </w:r>
      <w:proofErr w:type="spellEnd"/>
      <w:r w:rsidRPr="00C45C66">
        <w:rPr>
          <w:rFonts w:ascii="Times New Roman" w:hAnsi="Times New Roman" w:cs="Times New Roman"/>
          <w:sz w:val="24"/>
          <w:szCs w:val="24"/>
        </w:rPr>
        <w:t>: Times New Roman, 12 pt</w:t>
      </w:r>
      <w:proofErr w:type="gramStart"/>
      <w:r w:rsidRPr="00C45C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5C66">
        <w:rPr>
          <w:rFonts w:ascii="Times New Roman" w:hAnsi="Times New Roman" w:cs="Times New Roman"/>
          <w:sz w:val="24"/>
          <w:szCs w:val="24"/>
        </w:rPr>
        <w:br/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>Интервал: 1,0.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br/>
        <w:t>Поля: 2 см со всех сторон.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br/>
        <w:t>Абзац: 1,25 см.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br/>
        <w:t>Нумерация разделов: (</w:t>
      </w:r>
      <w:proofErr w:type="gramStart"/>
      <w:r w:rsidRPr="00C45C66">
        <w:rPr>
          <w:rFonts w:ascii="Times New Roman" w:hAnsi="Times New Roman" w:cs="Times New Roman"/>
          <w:sz w:val="24"/>
          <w:szCs w:val="24"/>
          <w:lang w:val="ru-RU"/>
        </w:rPr>
        <w:t>1.,</w:t>
      </w:r>
      <w:proofErr w:type="gramEnd"/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 1.1., 1.1.1.).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br/>
        <w:t>Выравнивание: по ширине.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br/>
        <w:t xml:space="preserve">Использовать автоматические стили заголовков в </w:t>
      </w:r>
      <w:r w:rsidRPr="00C45C66">
        <w:rPr>
          <w:rFonts w:ascii="Times New Roman" w:hAnsi="Times New Roman" w:cs="Times New Roman"/>
          <w:sz w:val="24"/>
          <w:szCs w:val="24"/>
        </w:rPr>
        <w:t>Word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0FDA" w:rsidRPr="00C45C66" w:rsidRDefault="00260FDA" w:rsidP="00260FDA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45C66">
        <w:rPr>
          <w:rFonts w:ascii="Times New Roman" w:hAnsi="Times New Roman" w:cs="Times New Roman"/>
          <w:color w:val="auto"/>
          <w:sz w:val="24"/>
          <w:szCs w:val="24"/>
          <w:lang w:val="ru-RU"/>
        </w:rPr>
        <w:t>4. Иллюстрации, таблицы, формулы</w:t>
      </w:r>
    </w:p>
    <w:p w:rsidR="00260FDA" w:rsidRPr="00C45C66" w:rsidRDefault="00260FDA" w:rsidP="00260FD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Рисунки: </w:t>
      </w:r>
      <w:r w:rsidRPr="00C45C66">
        <w:rPr>
          <w:rFonts w:ascii="Times New Roman" w:hAnsi="Times New Roman" w:cs="Times New Roman"/>
          <w:sz w:val="24"/>
          <w:szCs w:val="24"/>
        </w:rPr>
        <w:t>Fig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. 1, </w:t>
      </w:r>
      <w:r w:rsidRPr="00C45C66">
        <w:rPr>
          <w:rFonts w:ascii="Times New Roman" w:hAnsi="Times New Roman" w:cs="Times New Roman"/>
          <w:sz w:val="24"/>
          <w:szCs w:val="24"/>
        </w:rPr>
        <w:t>Fig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. 2…, подпись — </w:t>
      </w:r>
      <w:r w:rsidRPr="00C45C66">
        <w:rPr>
          <w:rFonts w:ascii="Times New Roman" w:hAnsi="Times New Roman" w:cs="Times New Roman"/>
          <w:sz w:val="24"/>
          <w:szCs w:val="24"/>
        </w:rPr>
        <w:t>Times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5C66">
        <w:rPr>
          <w:rFonts w:ascii="Times New Roman" w:hAnsi="Times New Roman" w:cs="Times New Roman"/>
          <w:sz w:val="24"/>
          <w:szCs w:val="24"/>
        </w:rPr>
        <w:t>New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5C66">
        <w:rPr>
          <w:rFonts w:ascii="Times New Roman" w:hAnsi="Times New Roman" w:cs="Times New Roman"/>
          <w:sz w:val="24"/>
          <w:szCs w:val="24"/>
        </w:rPr>
        <w:t>Roman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 10 </w:t>
      </w:r>
      <w:proofErr w:type="spellStart"/>
      <w:r w:rsidRPr="00C45C6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, курсив, по центру; качество не менее </w:t>
      </w:r>
      <w:r w:rsidRPr="00C45C6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300 </w:t>
      </w:r>
      <w:r w:rsidRPr="00C45C66">
        <w:rPr>
          <w:rFonts w:ascii="Times New Roman" w:hAnsi="Times New Roman" w:cs="Times New Roman"/>
          <w:b/>
          <w:bCs/>
          <w:sz w:val="24"/>
          <w:szCs w:val="24"/>
        </w:rPr>
        <w:t>dpi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, формат </w:t>
      </w:r>
      <w:r w:rsidRPr="00C45C66">
        <w:rPr>
          <w:rFonts w:ascii="Times New Roman" w:hAnsi="Times New Roman" w:cs="Times New Roman"/>
          <w:sz w:val="24"/>
          <w:szCs w:val="24"/>
        </w:rPr>
        <w:t>JPG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C45C66">
        <w:rPr>
          <w:rFonts w:ascii="Times New Roman" w:hAnsi="Times New Roman" w:cs="Times New Roman"/>
          <w:sz w:val="24"/>
          <w:szCs w:val="24"/>
        </w:rPr>
        <w:t>PNG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C45C66">
        <w:rPr>
          <w:rFonts w:ascii="Times New Roman" w:hAnsi="Times New Roman" w:cs="Times New Roman"/>
          <w:sz w:val="24"/>
          <w:szCs w:val="24"/>
        </w:rPr>
        <w:t>TIFF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br/>
        <w:t xml:space="preserve">Таблицы: </w:t>
      </w:r>
      <w:r w:rsidRPr="00C45C66">
        <w:rPr>
          <w:rFonts w:ascii="Times New Roman" w:hAnsi="Times New Roman" w:cs="Times New Roman"/>
          <w:sz w:val="24"/>
          <w:szCs w:val="24"/>
        </w:rPr>
        <w:t>Table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 1, </w:t>
      </w:r>
      <w:r w:rsidRPr="00C45C66">
        <w:rPr>
          <w:rFonts w:ascii="Times New Roman" w:hAnsi="Times New Roman" w:cs="Times New Roman"/>
          <w:sz w:val="24"/>
          <w:szCs w:val="24"/>
        </w:rPr>
        <w:t>Table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 2…, название над таблицей, </w:t>
      </w:r>
      <w:r w:rsidRPr="00C45C66">
        <w:rPr>
          <w:rFonts w:ascii="Times New Roman" w:hAnsi="Times New Roman" w:cs="Times New Roman"/>
          <w:sz w:val="24"/>
          <w:szCs w:val="24"/>
        </w:rPr>
        <w:t>Times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5C66">
        <w:rPr>
          <w:rFonts w:ascii="Times New Roman" w:hAnsi="Times New Roman" w:cs="Times New Roman"/>
          <w:sz w:val="24"/>
          <w:szCs w:val="24"/>
        </w:rPr>
        <w:t>New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5C66">
        <w:rPr>
          <w:rFonts w:ascii="Times New Roman" w:hAnsi="Times New Roman" w:cs="Times New Roman"/>
          <w:sz w:val="24"/>
          <w:szCs w:val="24"/>
        </w:rPr>
        <w:t>Roman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 10 </w:t>
      </w:r>
      <w:proofErr w:type="spellStart"/>
      <w:r w:rsidRPr="00C45C6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C45C66">
        <w:rPr>
          <w:rFonts w:ascii="Times New Roman" w:hAnsi="Times New Roman" w:cs="Times New Roman"/>
          <w:sz w:val="24"/>
          <w:szCs w:val="24"/>
          <w:lang w:val="ru-RU"/>
        </w:rPr>
        <w:t>, курсив; встроенные в текст.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br/>
        <w:t xml:space="preserve">Формулы: по центру, нумерация справа (1), (2), создавать в редакторе формул </w:t>
      </w:r>
      <w:r w:rsidRPr="00C45C66">
        <w:rPr>
          <w:rFonts w:ascii="Times New Roman" w:hAnsi="Times New Roman" w:cs="Times New Roman"/>
          <w:sz w:val="24"/>
          <w:szCs w:val="24"/>
        </w:rPr>
        <w:t>Word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C45C66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Pr="00C45C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0FDA" w:rsidRPr="00B958C5" w:rsidRDefault="00260FDA" w:rsidP="00260FDA">
      <w:pPr>
        <w:rPr>
          <w:rFonts w:ascii="Times New Roman" w:hAnsi="Times New Roman" w:cs="Times New Roman"/>
          <w:sz w:val="24"/>
          <w:szCs w:val="24"/>
        </w:rPr>
      </w:pPr>
      <w:r w:rsidRPr="00C45C6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45C6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Примеры ссылок (</w:t>
      </w:r>
      <w:r w:rsidRPr="00C45C66">
        <w:rPr>
          <w:rFonts w:ascii="Times New Roman" w:hAnsi="Times New Roman" w:cs="Times New Roman"/>
          <w:b/>
          <w:bCs/>
          <w:sz w:val="24"/>
          <w:szCs w:val="24"/>
        </w:rPr>
        <w:t>APA</w:t>
      </w:r>
      <w:r w:rsidRPr="00C45C6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7</w:t>
      </w:r>
      <w:proofErr w:type="gramStart"/>
      <w:r w:rsidRPr="00C45C66">
        <w:rPr>
          <w:rFonts w:ascii="Times New Roman" w:hAnsi="Times New Roman" w:cs="Times New Roman"/>
          <w:b/>
          <w:bCs/>
          <w:sz w:val="24"/>
          <w:szCs w:val="24"/>
          <w:lang w:val="ru-RU"/>
        </w:rPr>
        <w:t>):</w:t>
      </w:r>
      <w:r w:rsidRPr="00C45C66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Журнал</w:t>
      </w:r>
      <w:proofErr w:type="gramEnd"/>
      <w:r w:rsidRPr="00C45C6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C45C66">
        <w:rPr>
          <w:rFonts w:ascii="Times New Roman" w:hAnsi="Times New Roman" w:cs="Times New Roman"/>
          <w:sz w:val="24"/>
          <w:szCs w:val="24"/>
        </w:rPr>
        <w:t>Smith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45C66">
        <w:rPr>
          <w:rFonts w:ascii="Times New Roman" w:hAnsi="Times New Roman" w:cs="Times New Roman"/>
          <w:sz w:val="24"/>
          <w:szCs w:val="24"/>
        </w:rPr>
        <w:t>J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., &amp; </w:t>
      </w:r>
      <w:r w:rsidRPr="00C45C66">
        <w:rPr>
          <w:rFonts w:ascii="Times New Roman" w:hAnsi="Times New Roman" w:cs="Times New Roman"/>
          <w:sz w:val="24"/>
          <w:szCs w:val="24"/>
        </w:rPr>
        <w:t>Brown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45C66">
        <w:rPr>
          <w:rFonts w:ascii="Times New Roman" w:hAnsi="Times New Roman" w:cs="Times New Roman"/>
          <w:sz w:val="24"/>
          <w:szCs w:val="24"/>
        </w:rPr>
        <w:t>P</w:t>
      </w:r>
      <w:r w:rsidRPr="00C45C66">
        <w:rPr>
          <w:rFonts w:ascii="Times New Roman" w:hAnsi="Times New Roman" w:cs="Times New Roman"/>
          <w:sz w:val="24"/>
          <w:szCs w:val="24"/>
          <w:lang w:val="ru-RU"/>
        </w:rPr>
        <w:t xml:space="preserve">. (2023). </w:t>
      </w:r>
      <w:r w:rsidRPr="00C45C66">
        <w:rPr>
          <w:rFonts w:ascii="Times New Roman" w:hAnsi="Times New Roman" w:cs="Times New Roman"/>
          <w:i/>
          <w:iCs/>
          <w:sz w:val="24"/>
          <w:szCs w:val="24"/>
        </w:rPr>
        <w:t>Sustainable soil management in arid agriculture. Agricultural Systems,</w:t>
      </w:r>
      <w:r w:rsidRPr="00C45C66">
        <w:rPr>
          <w:rFonts w:ascii="Times New Roman" w:hAnsi="Times New Roman" w:cs="Times New Roman"/>
          <w:sz w:val="24"/>
          <w:szCs w:val="24"/>
        </w:rPr>
        <w:t xml:space="preserve"> 205, 103–118. https://doi.org/10.1016/j.agsy.2022.103118</w:t>
      </w:r>
      <w:r w:rsidRPr="00C45C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45C66">
        <w:rPr>
          <w:rFonts w:ascii="Times New Roman" w:hAnsi="Times New Roman" w:cs="Times New Roman"/>
          <w:b/>
          <w:bCs/>
          <w:sz w:val="24"/>
          <w:szCs w:val="24"/>
        </w:rPr>
        <w:t>Книга</w:t>
      </w:r>
      <w:proofErr w:type="spellEnd"/>
      <w:r w:rsidRPr="00C45C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45C66">
        <w:rPr>
          <w:rFonts w:ascii="Times New Roman" w:hAnsi="Times New Roman" w:cs="Times New Roman"/>
          <w:sz w:val="24"/>
          <w:szCs w:val="24"/>
        </w:rPr>
        <w:t>Cichocki</w:t>
      </w:r>
      <w:proofErr w:type="spellEnd"/>
      <w:r w:rsidRPr="00C45C66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C45C66">
        <w:rPr>
          <w:rFonts w:ascii="Times New Roman" w:hAnsi="Times New Roman" w:cs="Times New Roman"/>
          <w:sz w:val="24"/>
          <w:szCs w:val="24"/>
        </w:rPr>
        <w:t>Unbehaven</w:t>
      </w:r>
      <w:proofErr w:type="spellEnd"/>
      <w:r w:rsidRPr="00C45C66">
        <w:rPr>
          <w:rFonts w:ascii="Times New Roman" w:hAnsi="Times New Roman" w:cs="Times New Roman"/>
          <w:sz w:val="24"/>
          <w:szCs w:val="24"/>
        </w:rPr>
        <w:t>, R. (1993</w:t>
      </w:r>
      <w:r w:rsidRPr="00C45C66">
        <w:rPr>
          <w:rFonts w:ascii="Times New Roman" w:hAnsi="Times New Roman" w:cs="Times New Roman"/>
          <w:i/>
          <w:iCs/>
          <w:sz w:val="24"/>
          <w:szCs w:val="24"/>
        </w:rPr>
        <w:t>). Neural Networks for Optimization and Signal Processing</w:t>
      </w:r>
      <w:r w:rsidRPr="00C45C66">
        <w:rPr>
          <w:rFonts w:ascii="Times New Roman" w:hAnsi="Times New Roman" w:cs="Times New Roman"/>
          <w:sz w:val="24"/>
          <w:szCs w:val="24"/>
        </w:rPr>
        <w:t>. Wiley.</w:t>
      </w:r>
      <w:r w:rsidRPr="00C45C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45C66">
        <w:rPr>
          <w:rFonts w:ascii="Times New Roman" w:hAnsi="Times New Roman" w:cs="Times New Roman"/>
          <w:b/>
          <w:bCs/>
          <w:sz w:val="24"/>
          <w:szCs w:val="24"/>
        </w:rPr>
        <w:t>Интернет-источник</w:t>
      </w:r>
      <w:proofErr w:type="spellEnd"/>
      <w:r w:rsidRPr="00C45C6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4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C66">
        <w:rPr>
          <w:rFonts w:ascii="Times New Roman" w:hAnsi="Times New Roman" w:cs="Times New Roman"/>
          <w:sz w:val="24"/>
          <w:szCs w:val="24"/>
        </w:rPr>
        <w:t>Vidmar</w:t>
      </w:r>
      <w:proofErr w:type="spellEnd"/>
      <w:r w:rsidRPr="00C45C66">
        <w:rPr>
          <w:rFonts w:ascii="Times New Roman" w:hAnsi="Times New Roman" w:cs="Times New Roman"/>
          <w:sz w:val="24"/>
          <w:szCs w:val="24"/>
        </w:rPr>
        <w:t xml:space="preserve">, R. J. (1992, August). </w:t>
      </w:r>
      <w:r w:rsidRPr="00C45C66">
        <w:rPr>
          <w:rFonts w:ascii="Times New Roman" w:hAnsi="Times New Roman" w:cs="Times New Roman"/>
          <w:i/>
          <w:iCs/>
          <w:sz w:val="24"/>
          <w:szCs w:val="24"/>
        </w:rPr>
        <w:t>On the use of atmospheric plasmas as electromagnetic reflectors. IEEE Transactions on Plasma Science,</w:t>
      </w:r>
      <w:r w:rsidRPr="00C45C66">
        <w:rPr>
          <w:rFonts w:ascii="Times New Roman" w:hAnsi="Times New Roman" w:cs="Times New Roman"/>
          <w:sz w:val="24"/>
          <w:szCs w:val="24"/>
        </w:rPr>
        <w:t xml:space="preserve"> 21(3), 876–880. http://www.halcyon.com/pub/journals/21ps03-vidmar</w:t>
      </w:r>
    </w:p>
    <w:p w:rsidR="00260FDA" w:rsidRDefault="00260FDA" w:rsidP="0025515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260FDA" w:rsidRDefault="00260FDA" w:rsidP="0025515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6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E2"/>
    <w:rsid w:val="00075CDD"/>
    <w:rsid w:val="001A23A9"/>
    <w:rsid w:val="00223A53"/>
    <w:rsid w:val="0025515E"/>
    <w:rsid w:val="00260FDA"/>
    <w:rsid w:val="002D5584"/>
    <w:rsid w:val="0074386F"/>
    <w:rsid w:val="008A54D0"/>
    <w:rsid w:val="00977E77"/>
    <w:rsid w:val="00AA3FB0"/>
    <w:rsid w:val="00C818E2"/>
    <w:rsid w:val="00CB3D76"/>
    <w:rsid w:val="00DB493E"/>
    <w:rsid w:val="00DD1A6F"/>
    <w:rsid w:val="00E5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E9917-1AA2-4FC8-8F23-F88DD21C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FDA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60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0F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D76"/>
    <w:pPr>
      <w:spacing w:after="0" w:line="240" w:lineRule="auto"/>
    </w:pPr>
  </w:style>
  <w:style w:type="table" w:styleId="a4">
    <w:name w:val="Table Grid"/>
    <w:basedOn w:val="a1"/>
    <w:uiPriority w:val="59"/>
    <w:rsid w:val="008A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5CD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60F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60F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2025-08-26T13:00:00Z</cp:lastPrinted>
  <dcterms:created xsi:type="dcterms:W3CDTF">2025-08-27T08:09:00Z</dcterms:created>
  <dcterms:modified xsi:type="dcterms:W3CDTF">2025-08-27T08:10:00Z</dcterms:modified>
</cp:coreProperties>
</file>